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ФНС: сумма компенсации морального вреда, причиненного увечьем или иным повреждением здоровья, выплачиваемая на основании решения суда, освобождается от обложения НДФЛ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Сумма компенсации морального вреда, в рассматриваемом случае, освобождается от налогообложения НДФЛ на основании пункта 1 статьи 217 НК РФ.</w:t>
      </w:r>
      <w:r>
        <w:br/>
      </w:r>
      <w:r>
        <w:rPr>
          <w:b w:val="0"/>
        </w:rPr>
        <w:t>При этом обращено внимание на то, что в иных случаях сумма компенсации морального вреда подлежит обложению НДФЛ в установленном порядке.</w:t>
      </w:r>
    </w:p>
    <w:p w14:paraId="0B000000">
      <w:pPr>
        <w:widowControl w:val="1"/>
        <w:spacing w:after="0" w:before="168"/>
        <w:ind w:firstLine="0" w:left="0" w:right="0"/>
        <w:jc w:val="both"/>
        <w:rPr>
          <w:b w:val="0"/>
        </w:rPr>
      </w:pP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13" w:type="paragraph">
    <w:name w:val="heading 5"/>
    <w:next w:val="Style_4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4" w:type="paragraph">
    <w:name w:val="heading 1"/>
    <w:next w:val="Style_4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9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2026-05-14T10:09:33Z</dcterms:modified>
</cp:coreProperties>
</file>